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FF" w:rsidRDefault="00671314">
      <w:pPr>
        <w:rPr>
          <w:rFonts w:ascii="Iskoola Pota" w:eastAsia="Iskoola Pota" w:hAnsi="Iskoola Pota" w:cs="Iskoola Pota"/>
          <w:b/>
          <w:sz w:val="19"/>
          <w:szCs w:val="19"/>
        </w:rPr>
      </w:pP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24"/>
          <w:szCs w:val="24"/>
        </w:rPr>
        <w:tab/>
      </w:r>
      <w:r>
        <w:rPr>
          <w:rFonts w:ascii="Iskoola Pota" w:eastAsia="Iskoola Pota" w:hAnsi="Iskoola Pota" w:cs="Iskoola Pota"/>
          <w:b/>
          <w:sz w:val="19"/>
          <w:szCs w:val="19"/>
        </w:rPr>
        <w:tab/>
      </w:r>
      <w:r>
        <w:rPr>
          <w:rFonts w:ascii="Nirmala UI" w:eastAsia="Nirmala UI" w:hAnsi="Nirmala UI" w:cs="Nirmala UI"/>
          <w:b/>
          <w:sz w:val="19"/>
          <w:szCs w:val="19"/>
        </w:rPr>
        <w:t xml:space="preserve">      </w:t>
      </w:r>
      <w:proofErr w:type="gramStart"/>
      <w:r>
        <w:rPr>
          <w:rFonts w:ascii="Nirmala UI" w:eastAsia="Nirmala UI" w:hAnsi="Nirmala UI" w:cs="Nirmala UI"/>
          <w:b/>
          <w:sz w:val="19"/>
          <w:szCs w:val="19"/>
        </w:rPr>
        <w:t>Annex  02</w:t>
      </w:r>
      <w:proofErr w:type="gramEnd"/>
    </w:p>
    <w:p w:rsidR="007C52FF" w:rsidRDefault="007C52FF">
      <w:pPr>
        <w:rPr>
          <w:rFonts w:ascii="Nirmala UI" w:eastAsia="Nirmala UI" w:hAnsi="Nirmala UI" w:cs="Nirmala UI"/>
          <w:b/>
          <w:sz w:val="19"/>
          <w:szCs w:val="19"/>
        </w:rPr>
      </w:pPr>
    </w:p>
    <w:p w:rsidR="007C52FF" w:rsidRDefault="00671314">
      <w:pPr>
        <w:rPr>
          <w:rFonts w:ascii="Nirmala UI" w:eastAsia="Nirmala UI" w:hAnsi="Nirmala UI" w:cs="Nirmala UI"/>
          <w:b/>
          <w:sz w:val="19"/>
          <w:szCs w:val="19"/>
        </w:rPr>
      </w:pPr>
      <w:r>
        <w:rPr>
          <w:rFonts w:ascii="Nirmala UI" w:eastAsia="Nirmala UI" w:hAnsi="Nirmala UI" w:cs="Nirmala UI"/>
          <w:b/>
          <w:sz w:val="19"/>
          <w:szCs w:val="19"/>
        </w:rPr>
        <w:t xml:space="preserve">Details of Expenditure Estimates that Provisions to be </w:t>
      </w:r>
      <w:proofErr w:type="gramStart"/>
      <w:r>
        <w:rPr>
          <w:rFonts w:ascii="Nirmala UI" w:eastAsia="Nirmala UI" w:hAnsi="Nirmala UI" w:cs="Nirmala UI"/>
          <w:b/>
          <w:sz w:val="19"/>
          <w:szCs w:val="19"/>
        </w:rPr>
        <w:t>Allocated</w:t>
      </w:r>
      <w:proofErr w:type="gramEnd"/>
      <w:r>
        <w:rPr>
          <w:rFonts w:ascii="Nirmala UI" w:eastAsia="Nirmala UI" w:hAnsi="Nirmala UI" w:cs="Nirmala UI"/>
          <w:b/>
          <w:sz w:val="19"/>
          <w:szCs w:val="19"/>
        </w:rPr>
        <w:t xml:space="preserve"> as Sub-Projects / Items under Capital Expenditure</w:t>
      </w:r>
    </w:p>
    <w:p w:rsidR="007C52FF" w:rsidRDefault="007C52FF">
      <w:pPr>
        <w:rPr>
          <w:rFonts w:ascii="Nirmala UI" w:eastAsia="Nirmala UI" w:hAnsi="Nirmala UI" w:cs="Nirmala UI"/>
          <w:sz w:val="19"/>
          <w:szCs w:val="19"/>
        </w:rPr>
      </w:pPr>
    </w:p>
    <w:tbl>
      <w:tblPr>
        <w:tblStyle w:val="a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1440"/>
        <w:gridCol w:w="1260"/>
        <w:gridCol w:w="990"/>
        <w:gridCol w:w="1170"/>
        <w:gridCol w:w="1080"/>
        <w:gridCol w:w="1260"/>
        <w:gridCol w:w="1170"/>
        <w:gridCol w:w="1170"/>
        <w:gridCol w:w="900"/>
        <w:gridCol w:w="900"/>
      </w:tblGrid>
      <w:tr w:rsidR="007C52FF">
        <w:trPr>
          <w:trHeight w:val="1429"/>
        </w:trPr>
        <w:tc>
          <w:tcPr>
            <w:tcW w:w="2605" w:type="dxa"/>
            <w:vMerge w:val="restart"/>
          </w:tcPr>
          <w:p w:rsidR="007C52FF" w:rsidRDefault="00671314">
            <w:pPr>
              <w:ind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Name of the Project</w:t>
            </w:r>
          </w:p>
        </w:tc>
        <w:tc>
          <w:tcPr>
            <w:tcW w:w="1440" w:type="dxa"/>
            <w:vMerge w:val="restart"/>
          </w:tcPr>
          <w:p w:rsidR="007C52FF" w:rsidRDefault="00671314">
            <w:pPr>
              <w:ind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Vote Particular of Expenditure Estimate</w:t>
            </w:r>
          </w:p>
          <w:p w:rsidR="007C52FF" w:rsidRDefault="007C52FF">
            <w:pPr>
              <w:ind w:left="113"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</w:tcPr>
          <w:p w:rsidR="007C52FF" w:rsidRDefault="00671314">
            <w:pPr>
              <w:ind w:left="113"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Objectives of the Projects</w:t>
            </w:r>
          </w:p>
        </w:tc>
        <w:tc>
          <w:tcPr>
            <w:tcW w:w="990" w:type="dxa"/>
            <w:vMerge w:val="restart"/>
          </w:tcPr>
          <w:p w:rsidR="007C52FF" w:rsidRDefault="00671314">
            <w:pPr>
              <w:ind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bookmarkStart w:id="0" w:name="_gjdgxs" w:colFirst="0" w:colLast="0"/>
            <w:bookmarkEnd w:id="0"/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Year of Commencement</w:t>
            </w:r>
          </w:p>
        </w:tc>
        <w:tc>
          <w:tcPr>
            <w:tcW w:w="1170" w:type="dxa"/>
            <w:vMerge w:val="restart"/>
          </w:tcPr>
          <w:p w:rsidR="007C52FF" w:rsidRDefault="00671314">
            <w:pPr>
              <w:ind w:left="113"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Expected Year to Complete the Project*</w:t>
            </w:r>
          </w:p>
        </w:tc>
        <w:tc>
          <w:tcPr>
            <w:tcW w:w="1080" w:type="dxa"/>
            <w:vMerge w:val="restart"/>
          </w:tcPr>
          <w:p w:rsidR="007C52FF" w:rsidRDefault="00671314">
            <w:pPr>
              <w:ind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Total Estimated Cost</w:t>
            </w:r>
          </w:p>
        </w:tc>
        <w:tc>
          <w:tcPr>
            <w:tcW w:w="1260" w:type="dxa"/>
            <w:vMerge w:val="restart"/>
          </w:tcPr>
          <w:p w:rsidR="007C52FF" w:rsidRDefault="00671314">
            <w:pPr>
              <w:ind w:left="113"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Cumulative Expenditure up to</w:t>
            </w:r>
            <w:bookmarkStart w:id="1" w:name="_GoBack"/>
            <w:bookmarkEnd w:id="1"/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 xml:space="preserve"> 31.12.2020</w:t>
            </w:r>
          </w:p>
          <w:p w:rsidR="007C52FF" w:rsidRDefault="007C52FF">
            <w:pPr>
              <w:ind w:left="113"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170" w:type="dxa"/>
            <w:vMerge w:val="restart"/>
          </w:tcPr>
          <w:p w:rsidR="007C52FF" w:rsidRDefault="00671314">
            <w:pPr>
              <w:ind w:left="113"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Expected Expenditure for the year 2021</w:t>
            </w:r>
          </w:p>
        </w:tc>
        <w:tc>
          <w:tcPr>
            <w:tcW w:w="1170" w:type="dxa"/>
            <w:vMerge w:val="restart"/>
          </w:tcPr>
          <w:p w:rsidR="007C52FF" w:rsidRDefault="00671314">
            <w:pPr>
              <w:ind w:left="113"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Provisions required for the year 2022</w:t>
            </w:r>
          </w:p>
        </w:tc>
        <w:tc>
          <w:tcPr>
            <w:tcW w:w="1800" w:type="dxa"/>
            <w:gridSpan w:val="2"/>
          </w:tcPr>
          <w:p w:rsidR="007C52FF" w:rsidRDefault="00671314">
            <w:pPr>
              <w:ind w:right="113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Estimates</w:t>
            </w:r>
          </w:p>
        </w:tc>
      </w:tr>
      <w:tr w:rsidR="007C52FF">
        <w:trPr>
          <w:trHeight w:val="352"/>
        </w:trPr>
        <w:tc>
          <w:tcPr>
            <w:tcW w:w="2605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26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26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7C52FF" w:rsidRDefault="00671314">
            <w:pPr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2023</w:t>
            </w:r>
          </w:p>
        </w:tc>
        <w:tc>
          <w:tcPr>
            <w:tcW w:w="900" w:type="dxa"/>
          </w:tcPr>
          <w:p w:rsidR="007C52FF" w:rsidRDefault="00671314">
            <w:pPr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2024</w:t>
            </w:r>
          </w:p>
        </w:tc>
      </w:tr>
      <w:tr w:rsidR="007C52FF">
        <w:trPr>
          <w:trHeight w:val="343"/>
        </w:trPr>
        <w:tc>
          <w:tcPr>
            <w:tcW w:w="2605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26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7C52FF" w:rsidRDefault="007C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</w:p>
        </w:tc>
        <w:tc>
          <w:tcPr>
            <w:tcW w:w="6480" w:type="dxa"/>
            <w:gridSpan w:val="6"/>
          </w:tcPr>
          <w:p w:rsidR="007C52FF" w:rsidRDefault="00671314">
            <w:pPr>
              <w:jc w:val="center"/>
              <w:rPr>
                <w:rFonts w:ascii="Nirmala UI" w:eastAsia="Nirmala UI" w:hAnsi="Nirmala UI" w:cs="Nirmala UI"/>
                <w:b/>
                <w:sz w:val="19"/>
                <w:szCs w:val="19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Rs</w:t>
            </w:r>
            <w:proofErr w:type="spellEnd"/>
            <w:r>
              <w:rPr>
                <w:rFonts w:ascii="Nirmala UI" w:eastAsia="Nirmala UI" w:hAnsi="Nirmala UI" w:cs="Nirmala UI"/>
                <w:b/>
                <w:sz w:val="19"/>
                <w:szCs w:val="19"/>
              </w:rPr>
              <w:t>. Million</w:t>
            </w:r>
          </w:p>
        </w:tc>
      </w:tr>
      <w:tr w:rsidR="007C52FF">
        <w:trPr>
          <w:trHeight w:val="337"/>
        </w:trPr>
        <w:tc>
          <w:tcPr>
            <w:tcW w:w="2605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</w:tr>
      <w:tr w:rsidR="007C52FF">
        <w:trPr>
          <w:trHeight w:val="318"/>
        </w:trPr>
        <w:tc>
          <w:tcPr>
            <w:tcW w:w="2605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</w:tr>
      <w:tr w:rsidR="007C52FF">
        <w:trPr>
          <w:trHeight w:val="337"/>
        </w:trPr>
        <w:tc>
          <w:tcPr>
            <w:tcW w:w="2605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7C52FF" w:rsidRDefault="007C52FF">
            <w:pPr>
              <w:rPr>
                <w:sz w:val="19"/>
                <w:szCs w:val="19"/>
              </w:rPr>
            </w:pPr>
          </w:p>
        </w:tc>
      </w:tr>
    </w:tbl>
    <w:p w:rsidR="007C52FF" w:rsidRDefault="00671314">
      <w:pPr>
        <w:rPr>
          <w:rFonts w:ascii="Nirmala UI" w:eastAsia="Nirmala UI" w:hAnsi="Nirmala UI" w:cs="Nirmala UI"/>
          <w:b/>
          <w:sz w:val="19"/>
          <w:szCs w:val="19"/>
        </w:rPr>
      </w:pPr>
      <w:r>
        <w:rPr>
          <w:rFonts w:ascii="Nirmala UI" w:eastAsia="Nirmala UI" w:hAnsi="Nirmala UI" w:cs="Nirmala UI"/>
          <w:b/>
          <w:sz w:val="19"/>
          <w:szCs w:val="19"/>
        </w:rPr>
        <w:t>Ministry / Department</w:t>
      </w:r>
    </w:p>
    <w:p w:rsidR="007C52FF" w:rsidRDefault="007C52FF"/>
    <w:p w:rsidR="007C52FF" w:rsidRDefault="00671314">
      <w:r>
        <w:br/>
      </w:r>
    </w:p>
    <w:p w:rsidR="007C52FF" w:rsidRDefault="00671314">
      <w:r>
        <w:rPr>
          <w:rFonts w:ascii="Nirmala UI" w:eastAsia="Nirmala UI" w:hAnsi="Nirmala UI" w:cs="Nirmala UI"/>
        </w:rPr>
        <w:t xml:space="preserve">*If the expenditure incurred under the annual allocation without setting a time limit at present, a review of the relevant work should </w:t>
      </w:r>
      <w:proofErr w:type="gramStart"/>
      <w:r>
        <w:rPr>
          <w:rFonts w:ascii="Nirmala UI" w:eastAsia="Nirmala UI" w:hAnsi="Nirmala UI" w:cs="Nirmala UI"/>
        </w:rPr>
        <w:t>be</w:t>
      </w:r>
      <w:proofErr w:type="gramEnd"/>
      <w:r>
        <w:rPr>
          <w:rFonts w:ascii="Nirmala UI" w:eastAsia="Nirmala UI" w:hAnsi="Nirmala UI" w:cs="Nirmala UI"/>
        </w:rPr>
        <w:t xml:space="preserve"> made and a date should be fixed for setting targets.</w:t>
      </w:r>
    </w:p>
    <w:sectPr w:rsidR="007C52FF">
      <w:pgSz w:w="15840" w:h="12240" w:orient="landscape"/>
      <w:pgMar w:top="1440" w:right="1440" w:bottom="13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FF"/>
    <w:rsid w:val="00671314"/>
    <w:rsid w:val="007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E4895-3286-4E6D-8D4A-A6A5765A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BAGSMP</cp:lastModifiedBy>
  <cp:revision>2</cp:revision>
  <dcterms:created xsi:type="dcterms:W3CDTF">2021-08-01T15:21:00Z</dcterms:created>
  <dcterms:modified xsi:type="dcterms:W3CDTF">2021-08-01T15:22:00Z</dcterms:modified>
</cp:coreProperties>
</file>